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苏州市桐芳苑幼儿园</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2025年度，在上级主管部门的正确领导与全园教职工的共同努力下，我恪尽职守，以推动园所内涵式发展、促进幼儿全面健康成长为核心目标，全面履行园长职责。本年度的工作紧紧围绕“强化、优化、深化、细化、精化”五大核心，深耕细作，积极探索创新，扎实稳健地推进各项工作。将全年履职情况总结汇报如下：一、立德树人  强化思想引领筑牢根基1.加强理论学习：坚持把政治建设放在首位，依托“三会一课”、主题党日、专题辅导等多元载体，认真组织教职工深入学习贯彻党的二十大精神、二十届三中、四中全会精神等筑牢思想根基。通过专题研学全国教育大会精神、《教育强国规划纲要》等夯实专业理论基础；同时结合《榜样9》先进典型学习，贯彻落实中央八项规定精神学习教育工作，强化作风建设。全体教职工在政治学习中学理论、明方向、提认识，凝聚“躬耕教坛 强国有我”的力量与共识，忠诚于党的教育事业。2.聚焦党建品牌建设：本年度邀请姑苏区关工委“银发讲师团”讲师进园讲雷锋的故事；组织幼儿观看阅兵仪式后围绕“爱国”主题开展延伸活动；组织大班幼儿前往国防军事拓展基地开展实践活动等激发孩子们的爱国之情、爱党之情。以童语同音、幼小衔接等活动为载体，积极推广国家通用语言文字，通过中华经典诵读、唱红色歌曲、与家长讲亲子红色故事、非遗手工制作等形式，将中华优秀传统文化、红色革命文化融入主题党日和幼儿一日生活之中，进一步增强教职工、幼儿对中华优秀文化的认同感。推动党建工作与保教中心工作深度融合、同频共振。   3.恪守师德规范：将师德师风建设作为首要工作来抓。以身作则，要求教师做到的，自己首先做到。开展了“立师德 树师风 铸师魂”春季学期师德师风培训活动；结合八项规定的学习，积极开展自查自纠，进一步规范教师的教育行为；聚焦师德师风建设、师德隐患和风险点等内容，对易出现师德失范问题的风险点进行细致排查，确保学校无师德失范行为发生。组织全体教师深入学习《中华人民共和国学前教育法》，以“依法治教，立德树人”为核心，通过专题研讨的形式强化教师职业素养和师德师风建设。引导全体教职工以“最美桐幼人”“弘扬教育家精神，做桐幼真心良师”来践行“大情怀育人”主张，在全园家访、家长开放日、育儿指南、常态化家校沟通中，树立了良好师德形象。二、深耕保教，推动课程与质量协同发展   教育教学质量是园所的生命线。本年度，我深入教学一线，主导并推动了保教工作的提质创新。1.课程体系优化：园本课程建设有序推进，以“六节两季”为主线，根据幼儿年龄特点与发展需求设计不同类别，不同主题的活动，通过班本活动、年级组活动、主题文化活动、研学活动等一系列活动的开展，踏足田野、博物馆、小学、苏州园林、平江路……引导孩子们与节日对话，与自然携手，与主题探究同行，让行走成为课堂。联动周边社区资源，集合非遗传承信念，融合民俗文化创意，带领幼儿走进“周边一公里”，拓展生活经验；开展多次“平馨聚丽 童筑梦想”非遗进校园活动，让幼儿体验到了非遗传统文化的魅力。2.过程质量管理：每周公布园务工作重点，严格落实推门听课与教学巡查制度。通过定期组织环境创设评比、区域活动观察、幼儿成长档案审议等，确保保教过程规范、有质量。年度幼儿发展性评估数据显示，孩子们在语言表达、社会交往、科学探究等关键领域的达标率均有显著提升。3.教育科研引领：鼓励教师将实践问题转化为研究课题，深入开展苏州市教育科学“十四五”规划课题《基于苏州园林文化的幼儿园课程开发与实践研究》的有效实施，促进幼儿对苏州园林本土传统文化的传承。本年度1位老师在“2025年直属片幼儿园优秀教育活动交流与评比”中获三等奖，2位教师在省及以上论文评选中获三等奖；2位教师获市机关幼儿园幼儿教育技能大赛优秀奖。实现了教科研成果的突破。   4.人文关怀与激励：定期组织开展“悦人？悦己？悦心”教师心理健康关爱润心活动和团建活动，关注教职工心理健康，通过谈心谈话、表彰先进等方式，提升团队凝聚力和职业幸福感。本年度教职工队伍稳定，2名教师获得一级教师职称，工作积极性高涨。三、重视安全，筑牢校园安全防线始终将安全健康管理置于首位，坚定不移地强抓每一个细节，全方位保障幼儿的成长环境安全无忧、健康有序。1.制度规程规范化。制定编外人员管理办法、协同后勤园长不断完善安全管理制度、操作规程和应急预案，确保各项安全工作有章可循，有据可依。2.隐患查治常态化。常态化开展“校园安全来找茬”专项行动，在此基础上开展全市校园消防安全攻坚除患专项排查和市级机关事业单位办公用房和服务场所安全攻坚除患专项排查活动，对照要求及时加装烟感自动报警装置，消火栓、一健警报广播“三件套”，厨房加装自动灭火装置。下半年积极配合市疾控、社区做好定点、定时的蚊虫消杀工作。全年安全隐患排查整改率达到100%。3.培训教育经常化。组织全园性消防、防暴、急救演练超4次，确保教职工应急操作规范率超过95%。经常组织后勤人员岗位练兵活动、食堂人员燃气培训、卫生保健讲座等活动，全方位做好后勤安全保障工作。 4.校园餐管理严格化。每月定时召开“校园餐”管理专项会议，严格执行“双人”进货查验制，落实行政陪餐和家长预约进园陪餐制，全年食品安全事故“零记录”。四、开放共育，凝聚家园社协同合力现代学前教育必须构建开放共育的格局。我始终将家长视为最重要的合作伙伴。1.活动内涵深化：我们深入挖掘家长资源，成立了“家长志愿者团”，开展“我为幼儿园来助力”家长助教活动，让家长从教育的旁观者变为参与者。2.社会资源整合：积极与拙政园社区、中国邮政、丝绸博物馆等周边资源联动，开展“520手作义卖” “亲子纽扣贴画”“ 阅读从娃娃抓起家庭阅读打卡活动 ”“非遗进校园”等活动。不仅丰富课程内容，也提升了园所在社区的知晓度与美誉度。年度匿名问卷调查显示，家长总体满意度达到99.2%。（五） 廉洁自律，规范管理与作风建设时刻绷紧廉洁自律这根弦，严格执行各项财务制度与党风廉政建设规定。1.严守财务纪律：幼儿园所有收费项目公开、合规，经费支出严格按预算执行，大额采购严格执行“三重一大”程序，全年无违规收费和开支行为。2.勤俭治园：秉持“把钱花在刀刃上”的原则，优化财务支出结构，制定园所厉行节约管理举措。本年度，在确保保教质量提升的前提下，加装消防设施，更换班级空调、学校大门及操场移门，增添幼儿户外活动玩具，办园条件进一步改善提升。3.作风引领：在抓好业务工作的同时，认真抓好职责范围内的廉政建设工作，对教职工进行经常性的廉洁从教教育。</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苏州市桐芳苑幼儿园为苏州市妇女联合会下属事业单位，机构规格为相当于正科级，分类定性为公益二类，其主要职能为学龄前儿童提供幼儿学前教育和保育教育服务。为学龄前儿童提供保育和教育服务、提供与幼儿教育相关的社会服务、宣传科学保育和幼儿教育知识，配合创设良好的家庭教育环境。截至2025年12月我园编制内人员21人，无内设机构。</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我园认真对照评估指标，按照年度工作计划扎实推进年度财政支出绩效自评工作。苏州市桐芳苑幼儿园2025年收入决算839.15万元，支出决算839.15万元。幼儿园深入贯彻落实绩效管理的有关要求，强化部门预算绩效管理的主体责任，提高财政资金使用效益，科学反映专项经费的使用、结果和投入产出情况，准确评价项目预算编制的合理性，成本支出的真实性和控制有效性，财政资金使用的效率和结果。本年基本支出809.85万元，工资福利支出722.39万元，商品和服务支出98.23万元，对个人和家庭补助18.53万元。基本支出用于保障幼儿园正常运转、完成日常工作任务而发生的支出，包括人员工资福利、商品和服务经费和对个人和家庭的补助；本年无其他资本性支出。项目支出29.31万元，为完善幼儿园基本的办学条件，并根据预算金额专款专用。主要用于自聘保育员经费、派遣保安经费、水电燃气经费。三公经费情况，我园严格执行政府采购制度，做到先申请后采购，按流程办理。2025年没有因公出国（境）费支出，无公务接待费，无公务用车购置及运行维护费。</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虽然我园在设施改善，园务管理教育教学等方面取得了一定的成绩，但我们也清醒地认识到还存在一些问题，支出结构有待调整优化，绩效目标设置有待进一步优化。针对上述存在的问题及日常管理工作的需要，拟实施的改进措施如下：细化预算编制工作，要求指向明确、合理可行、相应匹配。进一步提高预算编制的科学性、严谨性和可控性。定期做好支出财务分析，及时对预算资金执行情况进行通报和预警，加强对绩效管理工作的跟踪督查，实现绩效管理的规范化常态化，确保绩效目标的完成，发挥资金的使用效益。进一步规范教育教学行为，提高教育教学质量，加强教师队伍建设，加强幼儿园校园文化建设。</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虽然我园在设施改善，园务管理教育教学等方面取得了一定的成绩，但我们也清醒地认识到还存在一些问题，支出结构有待调整优化，绩效目标设置有待进一步优化。针对上述存在的问题及日常管理工作的需要，拟实施的改进措施如下：细化预算编制工作，要求指向明确、合理可行、相应匹配。进一步提高预算编制的科学性、严谨性和可控性。定期做好支出财务分析，及时对预算资金执行情况进行通报和预警，加强对绩效管理工作的跟踪督查，实现绩效管理的规范化常态化，确保绩效目标的完成，发挥资金的使用效益。进一步规范教育教学行为，提高教育教学质量，加强教师队伍建设，加强幼儿园校园文化建设。</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757.81</w:t>
            </w:r>
          </w:p>
        </w:tc>
        <w:tc>
          <w:tcPr>
            <w:tcW w:w="2268" w:type="dxa"/>
            <w:vAlign w:val="center"/>
          </w:tcPr>
          <w:p>
            <w:pPr>
              <w:widowControl/>
              <w:jc w:val="center"/>
              <w:rPr>
                <w:rFonts w:ascii="宋体" w:hAnsi="宋体" w:cs="宋体"/>
                <w:sz w:val="24"/>
              </w:rPr>
            </w:pPr>
            <w:r>
              <w:rPr>
                <w:rFonts w:hint="eastAsia" w:ascii="宋体" w:hAnsi="宋体" w:cs="宋体"/>
                <w:sz w:val="24"/>
              </w:rPr>
              <w:t>94.2</w:t>
            </w:r>
          </w:p>
        </w:tc>
        <w:tc>
          <w:tcPr>
            <w:tcW w:w="2268" w:type="dxa"/>
            <w:vAlign w:val="center"/>
          </w:tcPr>
          <w:p>
            <w:pPr>
              <w:widowControl/>
              <w:jc w:val="center"/>
              <w:rPr>
                <w:rFonts w:ascii="宋体" w:hAnsi="宋体" w:cs="宋体"/>
                <w:sz w:val="24"/>
              </w:rPr>
            </w:pPr>
            <w:r>
              <w:rPr>
                <w:rFonts w:hint="eastAsia" w:ascii="宋体" w:hAnsi="宋体" w:cs="宋体"/>
                <w:sz w:val="24"/>
              </w:rPr>
              <w:t>852.01</w:t>
            </w:r>
          </w:p>
        </w:tc>
        <w:tc>
          <w:tcPr>
            <w:tcW w:w="2268" w:type="dxa"/>
            <w:vAlign w:val="center"/>
          </w:tcPr>
          <w:p>
            <w:pPr>
              <w:widowControl/>
              <w:jc w:val="center"/>
              <w:rPr>
                <w:rFonts w:ascii="宋体" w:hAnsi="宋体" w:cs="宋体"/>
                <w:sz w:val="24"/>
              </w:rPr>
            </w:pPr>
            <w:r>
              <w:rPr>
                <w:rFonts w:hint="eastAsia" w:ascii="宋体" w:hAnsi="宋体" w:cs="宋体"/>
                <w:sz w:val="24"/>
              </w:rPr>
              <w:t>839.15</w:t>
            </w:r>
          </w:p>
        </w:tc>
        <w:tc>
          <w:tcPr>
            <w:tcW w:w="2268" w:type="dxa"/>
            <w:vAlign w:val="center"/>
          </w:tcPr>
          <w:p>
            <w:pPr>
              <w:widowControl/>
              <w:jc w:val="center"/>
              <w:rPr>
                <w:rFonts w:ascii="宋体" w:hAnsi="宋体" w:cs="宋体"/>
                <w:sz w:val="24"/>
              </w:rPr>
            </w:pPr>
            <w:r>
              <w:rPr>
                <w:rFonts w:hint="eastAsia" w:ascii="宋体" w:hAnsi="宋体" w:cs="宋体"/>
                <w:sz w:val="24"/>
              </w:rPr>
              <w:t>98.49%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729.78</w:t>
            </w:r>
          </w:p>
        </w:tc>
        <w:tc>
          <w:tcPr>
            <w:tcW w:w="2268" w:type="dxa"/>
            <w:vAlign w:val="center"/>
          </w:tcPr>
          <w:p>
            <w:pPr>
              <w:widowControl/>
              <w:jc w:val="center"/>
              <w:rPr>
                <w:rFonts w:ascii="宋体" w:hAnsi="宋体" w:cs="宋体"/>
                <w:sz w:val="24"/>
              </w:rPr>
            </w:pPr>
            <w:r>
              <w:rPr>
                <w:rFonts w:hint="eastAsia" w:ascii="宋体" w:hAnsi="宋体" w:cs="宋体"/>
                <w:sz w:val="24"/>
              </w:rPr>
              <w:t>92.24</w:t>
            </w:r>
          </w:p>
        </w:tc>
        <w:tc>
          <w:tcPr>
            <w:tcW w:w="2268" w:type="dxa"/>
            <w:vAlign w:val="center"/>
          </w:tcPr>
          <w:p>
            <w:pPr>
              <w:widowControl/>
              <w:jc w:val="center"/>
              <w:rPr>
                <w:rFonts w:ascii="宋体" w:hAnsi="宋体" w:cs="宋体"/>
                <w:sz w:val="24"/>
              </w:rPr>
            </w:pPr>
            <w:r>
              <w:rPr>
                <w:rFonts w:hint="eastAsia" w:ascii="宋体" w:hAnsi="宋体" w:cs="宋体"/>
                <w:sz w:val="24"/>
              </w:rPr>
              <w:t>822.02</w:t>
            </w:r>
          </w:p>
        </w:tc>
        <w:tc>
          <w:tcPr>
            <w:tcW w:w="2268" w:type="dxa"/>
            <w:vAlign w:val="center"/>
          </w:tcPr>
          <w:p>
            <w:pPr>
              <w:widowControl/>
              <w:jc w:val="center"/>
              <w:rPr>
                <w:rFonts w:ascii="宋体" w:hAnsi="宋体" w:cs="宋体"/>
                <w:sz w:val="24"/>
              </w:rPr>
            </w:pPr>
            <w:r>
              <w:rPr>
                <w:rFonts w:hint="eastAsia" w:ascii="宋体" w:hAnsi="宋体" w:cs="宋体"/>
                <w:sz w:val="24"/>
              </w:rPr>
              <w:t>809.85</w:t>
            </w:r>
          </w:p>
        </w:tc>
        <w:tc>
          <w:tcPr>
            <w:tcW w:w="2268" w:type="dxa"/>
            <w:vAlign w:val="center"/>
          </w:tcPr>
          <w:p>
            <w:pPr>
              <w:widowControl/>
              <w:jc w:val="center"/>
              <w:rPr>
                <w:rFonts w:ascii="宋体" w:hAnsi="宋体" w:cs="宋体"/>
                <w:sz w:val="24"/>
              </w:rPr>
            </w:pPr>
            <w:r>
              <w:rPr>
                <w:rFonts w:hint="eastAsia" w:ascii="宋体" w:hAnsi="宋体" w:cs="宋体"/>
                <w:sz w:val="24"/>
              </w:rPr>
              <w:t>98.52%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28.03</w:t>
            </w:r>
          </w:p>
        </w:tc>
        <w:tc>
          <w:tcPr>
            <w:tcW w:w="2268" w:type="dxa"/>
            <w:vAlign w:val="center"/>
          </w:tcPr>
          <w:p>
            <w:pPr>
              <w:widowControl/>
              <w:jc w:val="center"/>
              <w:rPr>
                <w:rFonts w:ascii="宋体" w:hAnsi="宋体" w:cs="宋体"/>
                <w:sz w:val="24"/>
              </w:rPr>
            </w:pPr>
            <w:r>
              <w:rPr>
                <w:rFonts w:hint="eastAsia" w:ascii="宋体" w:hAnsi="宋体" w:cs="宋体"/>
                <w:sz w:val="24"/>
              </w:rPr>
              <w:t>1.96</w:t>
            </w:r>
          </w:p>
        </w:tc>
        <w:tc>
          <w:tcPr>
            <w:tcW w:w="2268" w:type="dxa"/>
            <w:vAlign w:val="center"/>
          </w:tcPr>
          <w:p>
            <w:pPr>
              <w:widowControl/>
              <w:jc w:val="center"/>
              <w:rPr>
                <w:rFonts w:ascii="宋体" w:hAnsi="宋体" w:cs="宋体"/>
                <w:sz w:val="24"/>
              </w:rPr>
            </w:pPr>
            <w:r>
              <w:rPr>
                <w:rFonts w:hint="eastAsia" w:ascii="宋体" w:hAnsi="宋体" w:cs="宋体"/>
                <w:sz w:val="24"/>
              </w:rPr>
              <w:t>29.99</w:t>
            </w:r>
          </w:p>
        </w:tc>
        <w:tc>
          <w:tcPr>
            <w:tcW w:w="2268" w:type="dxa"/>
            <w:vAlign w:val="center"/>
          </w:tcPr>
          <w:p>
            <w:pPr>
              <w:widowControl/>
              <w:jc w:val="center"/>
              <w:rPr>
                <w:rFonts w:ascii="宋体" w:hAnsi="宋体" w:cs="宋体"/>
                <w:sz w:val="24"/>
              </w:rPr>
            </w:pPr>
            <w:r>
              <w:rPr>
                <w:rFonts w:hint="eastAsia" w:ascii="宋体" w:hAnsi="宋体" w:cs="宋体"/>
                <w:sz w:val="24"/>
              </w:rPr>
              <w:t>29.3</w:t>
            </w:r>
          </w:p>
        </w:tc>
        <w:tc>
          <w:tcPr>
            <w:tcW w:w="2268" w:type="dxa"/>
            <w:vAlign w:val="center"/>
          </w:tcPr>
          <w:p>
            <w:pPr>
              <w:widowControl/>
              <w:jc w:val="center"/>
              <w:rPr>
                <w:rFonts w:ascii="宋体" w:hAnsi="宋体" w:cs="宋体"/>
                <w:sz w:val="24"/>
              </w:rPr>
            </w:pPr>
            <w:r>
              <w:rPr>
                <w:rFonts w:hint="eastAsia" w:ascii="宋体" w:hAnsi="宋体" w:cs="宋体"/>
                <w:sz w:val="24"/>
              </w:rPr>
              <w:t>97.70%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幼儿园保安经费</w:t>
            </w:r>
          </w:p>
        </w:tc>
        <w:tc>
          <w:tcPr>
            <w:tcW w:w="2268" w:type="dxa"/>
            <w:vAlign w:val="center"/>
          </w:tcPr>
          <w:p>
            <w:pPr>
              <w:widowControl/>
              <w:jc w:val="center"/>
              <w:rPr>
                <w:rFonts w:ascii="宋体" w:hAnsi="宋体" w:cs="宋体"/>
                <w:kern w:val="0"/>
                <w:sz w:val="24"/>
              </w:rPr>
            </w:pPr>
            <w:r>
              <w:rPr>
                <w:rFonts w:hint="eastAsia" w:ascii="宋体" w:hAnsi="宋体" w:cs="宋体"/>
                <w:sz w:val="24"/>
              </w:rPr>
              <w:t>12.13</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12.13</w:t>
            </w:r>
          </w:p>
        </w:tc>
        <w:tc>
          <w:tcPr>
            <w:tcW w:w="2268" w:type="dxa"/>
            <w:vAlign w:val="center"/>
          </w:tcPr>
          <w:p>
            <w:pPr>
              <w:widowControl/>
              <w:jc w:val="center"/>
              <w:rPr>
                <w:rFonts w:ascii="宋体" w:hAnsi="宋体" w:cs="宋体"/>
                <w:sz w:val="24"/>
              </w:rPr>
            </w:pPr>
            <w:r>
              <w:rPr>
                <w:rFonts w:hint="eastAsia" w:ascii="宋体" w:hAnsi="宋体" w:cs="宋体"/>
                <w:sz w:val="24"/>
              </w:rPr>
              <w:t>12.13</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水电燃气经费</w:t>
            </w:r>
          </w:p>
        </w:tc>
        <w:tc>
          <w:tcPr>
            <w:tcW w:w="2268" w:type="dxa"/>
            <w:vAlign w:val="center"/>
          </w:tcPr>
          <w:p>
            <w:pPr>
              <w:widowControl/>
              <w:jc w:val="center"/>
              <w:rPr>
                <w:rFonts w:ascii="宋体" w:hAnsi="宋体" w:cs="宋体"/>
                <w:kern w:val="0"/>
                <w:sz w:val="24"/>
              </w:rPr>
            </w:pPr>
            <w:r>
              <w:rPr>
                <w:rFonts w:hint="eastAsia" w:ascii="宋体" w:hAnsi="宋体" w:cs="宋体"/>
                <w:sz w:val="24"/>
              </w:rPr>
              <w:t>4.9</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4.9</w:t>
            </w:r>
          </w:p>
        </w:tc>
        <w:tc>
          <w:tcPr>
            <w:tcW w:w="2268" w:type="dxa"/>
            <w:vAlign w:val="center"/>
          </w:tcPr>
          <w:p>
            <w:pPr>
              <w:widowControl/>
              <w:jc w:val="center"/>
              <w:rPr>
                <w:rFonts w:ascii="宋体" w:hAnsi="宋体" w:cs="宋体"/>
                <w:sz w:val="24"/>
              </w:rPr>
            </w:pPr>
            <w:r>
              <w:rPr>
                <w:rFonts w:hint="eastAsia" w:ascii="宋体" w:hAnsi="宋体" w:cs="宋体"/>
                <w:sz w:val="24"/>
              </w:rPr>
              <w:t>4.22</w:t>
            </w:r>
          </w:p>
        </w:tc>
        <w:tc>
          <w:tcPr>
            <w:tcW w:w="2268" w:type="dxa"/>
            <w:vAlign w:val="center"/>
          </w:tcPr>
          <w:p>
            <w:pPr>
              <w:widowControl/>
              <w:jc w:val="center"/>
              <w:rPr>
                <w:rFonts w:ascii="宋体" w:hAnsi="宋体" w:cs="宋体"/>
                <w:sz w:val="24"/>
              </w:rPr>
            </w:pPr>
            <w:r>
              <w:rPr>
                <w:rFonts w:hint="eastAsia" w:ascii="宋体" w:hAnsi="宋体" w:cs="宋体"/>
                <w:sz w:val="24"/>
              </w:rPr>
              <w:t>86.12%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保育员、临时用工保工资</w:t>
            </w:r>
          </w:p>
        </w:tc>
        <w:tc>
          <w:tcPr>
            <w:tcW w:w="2268" w:type="dxa"/>
            <w:vAlign w:val="center"/>
          </w:tcPr>
          <w:p>
            <w:pPr>
              <w:widowControl/>
              <w:jc w:val="center"/>
              <w:rPr>
                <w:rFonts w:ascii="宋体" w:hAnsi="宋体" w:cs="宋体"/>
                <w:kern w:val="0"/>
                <w:sz w:val="24"/>
              </w:rPr>
            </w:pPr>
            <w:r>
              <w:rPr>
                <w:rFonts w:hint="eastAsia" w:ascii="宋体" w:hAnsi="宋体" w:cs="宋体"/>
                <w:sz w:val="24"/>
              </w:rPr>
              <w:t>11</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11</w:t>
            </w:r>
          </w:p>
        </w:tc>
        <w:tc>
          <w:tcPr>
            <w:tcW w:w="2268" w:type="dxa"/>
            <w:vAlign w:val="center"/>
          </w:tcPr>
          <w:p>
            <w:pPr>
              <w:widowControl/>
              <w:jc w:val="center"/>
              <w:rPr>
                <w:rFonts w:ascii="宋体" w:hAnsi="宋体" w:cs="宋体"/>
                <w:sz w:val="24"/>
              </w:rPr>
            </w:pPr>
            <w:r>
              <w:rPr>
                <w:rFonts w:hint="eastAsia" w:ascii="宋体" w:hAnsi="宋体" w:cs="宋体"/>
                <w:sz w:val="24"/>
              </w:rPr>
              <w:t>11</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开展保育教育队伍培训</w:t>
            </w:r>
          </w:p>
        </w:tc>
        <w:tc>
          <w:tcPr>
            <w:tcW w:w="3818" w:type="dxa"/>
            <w:vAlign w:val="center"/>
          </w:tcPr>
          <w:p>
            <w:pPr>
              <w:widowControl/>
              <w:jc w:val="center"/>
              <w:rPr>
                <w:rFonts w:ascii="宋体" w:hAnsi="宋体" w:cs="宋体"/>
                <w:sz w:val="24"/>
              </w:rPr>
            </w:pPr>
            <w:r>
              <w:rPr>
                <w:rFonts w:hint="eastAsia" w:ascii="宋体" w:hAnsi="宋体" w:cs="宋体"/>
                <w:sz w:val="24"/>
              </w:rPr>
              <w:t>教师继续教育</w:t>
            </w:r>
          </w:p>
        </w:tc>
        <w:tc>
          <w:tcPr>
            <w:tcW w:w="6280" w:type="dxa"/>
            <w:vAlign w:val="center"/>
          </w:tcPr>
          <w:p>
            <w:pPr>
              <w:widowControl/>
              <w:jc w:val="center"/>
              <w:rPr>
                <w:rFonts w:ascii="宋体" w:hAnsi="宋体" w:cs="宋体"/>
                <w:sz w:val="24"/>
              </w:rPr>
            </w:pPr>
            <w:r>
              <w:rPr>
                <w:rFonts w:hint="eastAsia" w:ascii="宋体" w:hAnsi="宋体" w:cs="宋体"/>
                <w:sz w:val="24"/>
              </w:rPr>
              <w:t>组织全体教师深入学习《中华人民共和国学前教育法》，以“依法治教，立德树人”为核心，通过专题研讨的形式强化教师职业素养和师德师风建设。引导全体教职工以“最美桐幼人”“弘扬教育家精神，做桐幼真心良师”来践行“大情怀育人”主张，在全园家访、家长开放日、育儿指南、常态化家校沟通中，树立了良好师德形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岗位练兵活动</w:t>
            </w:r>
          </w:p>
        </w:tc>
        <w:tc>
          <w:tcPr>
            <w:tcW w:w="6280" w:type="dxa"/>
            <w:vAlign w:val="center"/>
          </w:tcPr>
          <w:p>
            <w:pPr>
              <w:widowControl/>
              <w:jc w:val="center"/>
              <w:rPr>
                <w:rFonts w:ascii="宋体" w:hAnsi="宋体" w:cs="宋体"/>
                <w:sz w:val="24"/>
              </w:rPr>
            </w:pPr>
            <w:r>
              <w:rPr>
                <w:rFonts w:hint="eastAsia" w:ascii="宋体" w:hAnsi="宋体" w:cs="宋体"/>
                <w:sz w:val="24"/>
              </w:rPr>
              <w:t>鼓励教师将实践问题转化为研究课题，深入开展苏州市教育科学“十四五”规划课题《基于苏州园林文化的幼儿园课程开发与实践研究》的有效实施，促进幼儿对苏州园林本土传统文化的传承。本年度1位老师在“2025年直属片幼儿园优秀教育活动交流与评比”中获三等奖，2位教师在省及以上论文评选中获三等奖；2位教师获市机关幼儿园幼儿教育技能大赛优秀奖。实现了教科研成果的突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宣传科学保育和幼儿教育知识、配合创设良好家庭教育环境</w:t>
            </w:r>
          </w:p>
        </w:tc>
        <w:tc>
          <w:tcPr>
            <w:tcW w:w="3818" w:type="dxa"/>
            <w:vAlign w:val="center"/>
          </w:tcPr>
          <w:p>
            <w:pPr>
              <w:widowControl/>
              <w:jc w:val="center"/>
              <w:rPr>
                <w:rFonts w:ascii="宋体" w:hAnsi="宋体" w:cs="宋体"/>
                <w:sz w:val="24"/>
              </w:rPr>
            </w:pPr>
            <w:r>
              <w:rPr>
                <w:rFonts w:hint="eastAsia" w:ascii="宋体" w:hAnsi="宋体" w:cs="宋体"/>
                <w:sz w:val="24"/>
              </w:rPr>
              <w:t>定期开展家长参与活动</w:t>
            </w:r>
          </w:p>
        </w:tc>
        <w:tc>
          <w:tcPr>
            <w:tcW w:w="6280" w:type="dxa"/>
            <w:vAlign w:val="center"/>
          </w:tcPr>
          <w:p>
            <w:pPr>
              <w:widowControl/>
              <w:jc w:val="center"/>
              <w:rPr>
                <w:rFonts w:ascii="宋体" w:hAnsi="宋体" w:cs="宋体"/>
                <w:sz w:val="24"/>
              </w:rPr>
            </w:pPr>
            <w:r>
              <w:rPr>
                <w:rFonts w:hint="eastAsia" w:ascii="宋体" w:hAnsi="宋体" w:cs="宋体"/>
                <w:sz w:val="24"/>
              </w:rPr>
              <w:t>我们深入挖掘家长资源，成立了“家长志愿者团”，开展“我为幼儿园来助力”家长助教活动，让家长从教育的旁观者变为参与者。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学前教育和保育教育</w:t>
            </w:r>
          </w:p>
        </w:tc>
        <w:tc>
          <w:tcPr>
            <w:tcW w:w="3818" w:type="dxa"/>
            <w:vAlign w:val="center"/>
          </w:tcPr>
          <w:p>
            <w:pPr>
              <w:widowControl/>
              <w:jc w:val="center"/>
              <w:rPr>
                <w:rFonts w:ascii="宋体" w:hAnsi="宋体" w:cs="宋体"/>
                <w:sz w:val="24"/>
              </w:rPr>
            </w:pPr>
            <w:r>
              <w:rPr>
                <w:rFonts w:hint="eastAsia" w:ascii="宋体" w:hAnsi="宋体" w:cs="宋体"/>
                <w:sz w:val="24"/>
              </w:rPr>
              <w:t>幼儿游戏实施与展示</w:t>
            </w:r>
          </w:p>
        </w:tc>
        <w:tc>
          <w:tcPr>
            <w:tcW w:w="6280" w:type="dxa"/>
            <w:vAlign w:val="center"/>
          </w:tcPr>
          <w:p>
            <w:pPr>
              <w:widowControl/>
              <w:jc w:val="center"/>
              <w:rPr>
                <w:rFonts w:ascii="宋体" w:hAnsi="宋体" w:cs="宋体"/>
                <w:sz w:val="24"/>
              </w:rPr>
            </w:pPr>
            <w:r>
              <w:rPr>
                <w:rFonts w:hint="eastAsia" w:ascii="宋体" w:hAnsi="宋体" w:cs="宋体"/>
                <w:sz w:val="24"/>
              </w:rPr>
              <w:t>积极与拙政园社区、中国邮政、丝绸博物馆等周边资源联动，开展“520手作义卖” “亲子纽扣贴画”“ 阅读从娃娃抓起家庭阅读打卡活动 ”“非遗进校园”等活动。不仅丰富课程内容，也提升了园所在社区的知晓度与美誉度。年度匿名问卷调查显示，家长总体满意度达到99.2%。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课程规划与实施</w:t>
            </w:r>
          </w:p>
        </w:tc>
        <w:tc>
          <w:tcPr>
            <w:tcW w:w="6280" w:type="dxa"/>
            <w:vAlign w:val="center"/>
          </w:tcPr>
          <w:p>
            <w:pPr>
              <w:widowControl/>
              <w:jc w:val="center"/>
              <w:rPr>
                <w:rFonts w:ascii="宋体" w:hAnsi="宋体" w:cs="宋体"/>
                <w:sz w:val="24"/>
              </w:rPr>
            </w:pPr>
            <w:r>
              <w:rPr>
                <w:rFonts w:hint="eastAsia" w:ascii="宋体" w:hAnsi="宋体" w:cs="宋体"/>
                <w:sz w:val="24"/>
              </w:rPr>
              <w:t>每周公布园务工作重点，严格落实推门听课与教学巡查制度。通过定期组织环境创设评比、区域活动观察、幼儿成长档案审议等，确保保教过程规范、有质量。年度幼儿发展性评估数据显示，孩子们在语言表达、社会交往、科学探究等关键领域的达标率均有显著提升。园本课程建设有序推进，以“六节两季”为主线，根据幼儿年龄特点与发展需求设计不同类别，不同主题的活动，通过班本活动、年级组活动、主题文化活动、研学活动等一系列活动的开展，踏足田野、博物馆、小学、苏州园林、平江路……引导孩子们与节日对话，与自然携手，与主题探究同行，让行走成为课堂。联动周边社区资源，集合非遗传承信念，融合民俗文化创意，带领幼儿走进“周边一公里”，拓展生活经验；开展多次“平馨聚丽 童筑梦想”非遗进校园活动，让幼儿体验到了非遗传统文化的魅力。</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幼儿园发展规划</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月度年度工作</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绩效目标责任书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绩效目标责任书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预决算管理制度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预决算管理制度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预决算管理制度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内控制度、财务制度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绩效管理责任书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收费管理制度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预决算管理制度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预决算管理制度、三重一大会议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项目建设管理制度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项目建设管理制度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日常管理规定、绩效工资考核制度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日常管理规定、绩效工资考核制度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编制核定人员22名，截至2025年底实有在编人员21名</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教师教育平台、工勤人员继续教育平台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师德师风承诺书、警示教育常态化</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党建智慧平台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一体化平台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10.73%</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7.30%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相关会计凭证、每月财务报表</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10.73%</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财政非税收入收缴电子化管理系统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公用经费支出相关会计凭证</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98.5%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预算执行进度表</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-1.50%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公众号更新次数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&gt;=80次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98次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公众号平台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22.50%</w:t>
            </w:r>
          </w:p>
        </w:tc>
        <w:tc>
          <w:tcPr>
            <w:tcW w:w="1071" w:type="dxa"/>
          </w:tcPr>
          <w:p>
            <w:pPr>
              <w:spacing w:line="360" w:lineRule="auto"/>
              <w:rPr>
                <w:rFonts w:ascii="宋体" w:hAnsi="宋体" w:cs="宋体"/>
                <w:kern w:val="0"/>
                <w:sz w:val="22"/>
              </w:rPr>
            </w:pPr>
            <w:r>
              <w:rPr>
                <w:rFonts w:hint="eastAsia" w:ascii="宋体" w:hAnsi="宋体" w:cs="宋体"/>
                <w:sz w:val="24"/>
              </w:rPr>
              <w:t>依据教学计划同步更新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p>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服务对象满意度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99.2%</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满意度调查</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-0.80%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幼儿游戏全园展示次数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园务计划总结、公众号平台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按计划开展教育教学活动</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园务计划总结、公众号平台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园务总结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练兵活动次数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&gt;=6次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6次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园务计划总结、公众号平台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开展家长参与的活动次数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&gt;=4次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4次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园务计划总结、公众号平台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