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苏州市妇女联合会</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一是进一步唱响思想引领“主旋律”。开展“巾帼心向党引领行动”，依托姑苏女性大讲堂、木兰讲师团等深化巾帼大学习、巾帼大宣讲。举办市纪念三八国际妇女节115周年活动、苏州女性融媒体创意大赛等，引领妇女听党话、跟党走。二是进一步凝聚巾帼建功“她力量”。牢牢把握高质量发展首要任务，深化科技创新巾帼行动、巾帼就业创业促进行动、乡村振兴巾帼行动，举办第十届市女性创业创新大赛，开展女大学生创业就业实践行动，推进美丽庭院建设，推动广大妇女立足岗位、建功立业。三是进一步夯实家庭建设“主阵地”。举办2025年市家庭文化主题活动，依托苏州市家风馆开展好家风好家训宣讲。完善覆盖城乡的家庭教育指导服务体系建设，实施木兰家教进万家民生实事项目，大力传播科学家教理念。开展“婚育服务进万家”“婚育新风进校园”等，加强青年人婚恋观、生育观、家庭观引导。四是进一步拧紧维权服务“责任链”。加强普法宣传力度。加大婚姻家庭矛盾纠纷调解。依托市婚姻家庭服务平台，加大对困境妇女儿童的关爱帮扶，把维权工作做在平常抓在经常落到基层。五是进一步增强改革创新“驱动力”。召开苏州市妇女第十五次代表大会。举办市妇女儿童家庭公益项目创投大赛，实施一批优秀项目。以强“三性”为目标，举办妇联干部培训班，加强“三新”领域妇联组织建设，提升工作覆盖和服务覆盖，努力建立妇女群众信赖依靠的“温暖娘家</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苏州市妇女联合会是在中共苏州市委和江苏省妇联领导下的全市各界妇女的群团组织，是党和政府联系妇女群众的桥梁和纽带。其主要职责是：（一）坚持正确政治方向，团结、教育全市广大妇女以及各类妇女组织在思想上政治上行动上同党中央保持高度一致。（二）围绕党和政府的中心任务开展工作，团结、动员、组织广大妇女投身改革开放和社会主义现代化建设，促进经济发展和社会全面进步，为维护改革发展稳定的大局服务。（三）宣传马克思主义妇女观，推动落实男女平等基本国策，教育和引导广大妇女践行社会主义核心价值观，弘扬“自尊、自信、自立、自强”的精神，宣传培树各类优秀妇女典型，积极推动和开展对妇女的科学文化及生产劳动技能教育培训，提高妇女综合素质，促进全面发展。（四）代表妇女参与国家和社会事务的民主管理、民主监督；关注并加强研究涉及妇女切身利益的热点、难点问题，及时向党和政府反映社情民意，提出对策建议；参与有关妇女儿童政策和法律、法规的起草和实施，切实维护妇女儿童合法权益；推荐、输送妇女人才，促进妇女参政议政。（五）加强妇联组织自身建设，指导建立健全各级妇联组织；指导全市各级妇联依据《中华全国妇女联合会章程》和妇女代表大会的决议，开展妇女儿童工作；联系团体会员并给予工作指导；加强干部队伍建设，提高妇联干部的整体素质。（六）坚持为妇女儿童服务、为基层服务，加强与社会各界的联系，协调推动全社会为妇女儿童事业办实事、办好事，促进妇女儿童事业的发展。（七）加强与各界妇女的联系，加强同港、澳、台及海外华侨华人妇女、妇女组织的联谊，积极发展同世界各国妇女和妇女组织的友好交往，增进了解和友谊，加强合作。（八）承担市政府妇女儿童工作委员会办公室的工作。（九）承办市委、市政府和上级妇联交办的有关事项。</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一是思想引领彰显新高度。按照市委要求牵头起草《关于实施“柔晖护苗”六大行动计划 进一步推动全市妇女儿童事业高质量发展的意见》。举办市纪念“三八”国际妇女节115周年座谈会和走访慰问活动。深化巾帼大学习、大宣讲，各级妇联累计宣讲3686场。升级“木兰讲师团”，开展10场“姑苏女性大讲堂”、三八红旗手（集体）工作室互学互访及女大学生“聚心”行动。新增全国三八红旗手3名、巾帼文明岗3个，1个项目入选全国志愿服务先进典型名单。落实党委（党组）国家安全责任制、意识形态工作责任制，聚焦全球妇女峰会，召开全市妇女领域防风险工作专题会议，成立市维护妇女领域政治安全工作小组，牵头起草相关工作规则，常态化开展风险研判，切实维护妇女领域政治安全和意识形态安全。二是服务大局取得新突破。深化科技创新巾帼行动，联合多部门举办第十届市女性创业创新大赛，打造“科链+”她品牌，开展链∞·她智慧主题活动、智能经济主题活动、“AI + 低空”专场活动等，推动妇女参与高质量发展。举办女企业家高质量发展主题活动，鼓励她们实干开新局，进一步强劲“她”动能。聚焦女性就业创业难点问题，上下联动举办各类女性专场招聘会174场，提供就业岗位4.35万个。6个生育友好岗入选省妇联案例汇编，数量居全省第一。“木兰启航”项目为女大学生提供近1500个暑期实践岗位。深化“乡村振兴巾帼行动”，成立市乡间巾帼主理人联盟，举办乡间巾帼主理人直播陪跑营，发布8条美丽庭院乡村游精品线路，举办4场巾帼主题市集、美丽庭院秋收雅集主题活动，全市美丽庭院达到11.9万个。三是家庭建设展现新作为。培育家庭文明新风尚和新型婚育文化，开展家风巡讲活动1004场、婚恋服务活动122场，培育省级新型婚育文化培育试点单位10个。主办、协办家庭领域“两会”提案建议27个，再次被市政协评为提案办理成效突出单位。完成市民生实事项目“家庭教育进万家”，建成市家庭教育指导服务中心和10个县级分中心。联合市委社工部、市教育局制定“家庭教育进社区”指导服务行动实施方案，举办全市社区（村）家庭教育指导员专题培训班，出台家庭教育指导员管理办法，编制家庭教育志愿者培训教学大纲、课程，培育家教志愿者700余人。2187个家教指导服务站点开展指导服务7825场，惠及18.2万人次；7场“育见家长”家庭教育主题活动网络直播观看量达到400万人次。《健全家教指导服务体系 形成协同育人新生态》入选市深入贯彻中央八项规定精神学习教育为民办实事典型案例汇编。四是维权关爱实现新提升。落实市委领导关于预防化解婚恋情感纠纷的工作要求，召开专题会议，创新实施婚姻家庭赋能行动，举办3期婚姻家庭纠纷调解训练营，培育家事调解员300余人，调解婚姻家庭纠纷4648件。建成市婚姻家庭智慧服务平台，与公安交换婚姻家庭类纠纷数据8100多例，12338热线接待群众信访2049例。落实政府工作报告“做好妇女工作”“深化儿童友好城市建设”等要求，推动“十四五”妇儿发展规划指标全面达标，高标准编制市“十五五”妇女友善之城建设规划、儿童事业发展规划，联合有关单位设立22个“柔晖护苗”关爱服务项目。落实市政府《建设儿童友好城市三年行动计划（2024-2026年）》，联合检察院、商务局编制《住宅小区公共空间儿童安全建设指引》《商圈中的儿童友好空间建设指引》，开展“儿童友好 快乐童享”主题系列活动，累计建成儿童友好试点单元625个，营造儿童成长良好环境。五是组织建设焕发新活力。扎实开展深入贯彻中央八项规定精神学习教育，制定学习教育《实施方案》，一体抓实学习研讨、查摆问题、集中整治和开门教育。落实市委深改委“持续巩固群团改革成果”要求，聚焦“强三性”深化妇联改革，完成9个省级新兴领域妇联试点建设任务，累计建成新兴领域妇联5193个。加强对女性社会组织的培育，实施14个妇女儿童家庭公益服务项目。出台《市妇联第十五届执委履职工作办法》，举办基层妇联“领头雁”培训班、第三十期女干部培训班等，上下联动培训妇联干部、执委2.46万人次，打造高素质专业化的干部队伍。结合“换位跑一次”，开展“一挂二转三访四送”行动，班子成员带头挂钩15个街道，走访100多个社区，推动资源和服务向基层倾斜。</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强化全过程绩效管理，提升支出责任和效率意识，通过加强过程绩效监控，发现绩效计划实施中存在的偏差及问题，及时落实纠偏和改进措施，为计划的落实提供保障。</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要求各部门参与到绩效评价工作中来，积极做好本部门资金评价工作。同时，由财务人员牵头做好评价结果的整理、分析、归纳工作，并将绩效评价结果作为安排年度预算的重要依据，实现绩效评价结果与预算编制的有机结合，进一步优化财政资源配置。公开情况：按照财政相关要求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1766.03</w:t>
            </w:r>
          </w:p>
        </w:tc>
        <w:tc>
          <w:tcPr>
            <w:tcW w:w="2268" w:type="dxa"/>
            <w:vAlign w:val="center"/>
          </w:tcPr>
          <w:p>
            <w:pPr>
              <w:widowControl/>
              <w:jc w:val="center"/>
              <w:rPr>
                <w:rFonts w:ascii="宋体" w:hAnsi="宋体" w:cs="宋体"/>
                <w:sz w:val="24"/>
              </w:rPr>
            </w:pPr>
            <w:r>
              <w:rPr>
                <w:rFonts w:hint="eastAsia" w:ascii="宋体" w:hAnsi="宋体" w:cs="宋体"/>
                <w:sz w:val="24"/>
              </w:rPr>
              <w:t>183.44</w:t>
            </w:r>
          </w:p>
        </w:tc>
        <w:tc>
          <w:tcPr>
            <w:tcW w:w="2268" w:type="dxa"/>
            <w:vAlign w:val="center"/>
          </w:tcPr>
          <w:p>
            <w:pPr>
              <w:widowControl/>
              <w:jc w:val="center"/>
              <w:rPr>
                <w:rFonts w:ascii="宋体" w:hAnsi="宋体" w:cs="宋体"/>
                <w:sz w:val="24"/>
              </w:rPr>
            </w:pPr>
            <w:r>
              <w:rPr>
                <w:rFonts w:hint="eastAsia" w:ascii="宋体" w:hAnsi="宋体" w:cs="宋体"/>
                <w:sz w:val="24"/>
              </w:rPr>
              <w:t>1949.47</w:t>
            </w:r>
          </w:p>
        </w:tc>
        <w:tc>
          <w:tcPr>
            <w:tcW w:w="2268" w:type="dxa"/>
            <w:vAlign w:val="center"/>
          </w:tcPr>
          <w:p>
            <w:pPr>
              <w:widowControl/>
              <w:jc w:val="center"/>
              <w:rPr>
                <w:rFonts w:ascii="宋体" w:hAnsi="宋体" w:cs="宋体"/>
                <w:sz w:val="24"/>
              </w:rPr>
            </w:pPr>
            <w:r>
              <w:rPr>
                <w:rFonts w:hint="eastAsia" w:ascii="宋体" w:hAnsi="宋体" w:cs="宋体"/>
                <w:sz w:val="24"/>
              </w:rPr>
              <w:t>1949.47</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1111.84</w:t>
            </w:r>
          </w:p>
        </w:tc>
        <w:tc>
          <w:tcPr>
            <w:tcW w:w="2268" w:type="dxa"/>
            <w:vAlign w:val="center"/>
          </w:tcPr>
          <w:p>
            <w:pPr>
              <w:widowControl/>
              <w:jc w:val="center"/>
              <w:rPr>
                <w:rFonts w:ascii="宋体" w:hAnsi="宋体" w:cs="宋体"/>
                <w:sz w:val="24"/>
              </w:rPr>
            </w:pPr>
            <w:r>
              <w:rPr>
                <w:rFonts w:hint="eastAsia" w:ascii="宋体" w:hAnsi="宋体" w:cs="宋体"/>
                <w:sz w:val="24"/>
              </w:rPr>
              <w:t>165.5</w:t>
            </w:r>
          </w:p>
        </w:tc>
        <w:tc>
          <w:tcPr>
            <w:tcW w:w="2268" w:type="dxa"/>
            <w:vAlign w:val="center"/>
          </w:tcPr>
          <w:p>
            <w:pPr>
              <w:widowControl/>
              <w:jc w:val="center"/>
              <w:rPr>
                <w:rFonts w:ascii="宋体" w:hAnsi="宋体" w:cs="宋体"/>
                <w:sz w:val="24"/>
              </w:rPr>
            </w:pPr>
            <w:r>
              <w:rPr>
                <w:rFonts w:hint="eastAsia" w:ascii="宋体" w:hAnsi="宋体" w:cs="宋体"/>
                <w:sz w:val="24"/>
              </w:rPr>
              <w:t>1277.34</w:t>
            </w:r>
          </w:p>
        </w:tc>
        <w:tc>
          <w:tcPr>
            <w:tcW w:w="2268" w:type="dxa"/>
            <w:vAlign w:val="center"/>
          </w:tcPr>
          <w:p>
            <w:pPr>
              <w:widowControl/>
              <w:jc w:val="center"/>
              <w:rPr>
                <w:rFonts w:ascii="宋体" w:hAnsi="宋体" w:cs="宋体"/>
                <w:sz w:val="24"/>
              </w:rPr>
            </w:pPr>
            <w:r>
              <w:rPr>
                <w:rFonts w:hint="eastAsia" w:ascii="宋体" w:hAnsi="宋体" w:cs="宋体"/>
                <w:sz w:val="24"/>
              </w:rPr>
              <w:t>1277.34</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654.19</w:t>
            </w:r>
          </w:p>
        </w:tc>
        <w:tc>
          <w:tcPr>
            <w:tcW w:w="2268" w:type="dxa"/>
            <w:vAlign w:val="center"/>
          </w:tcPr>
          <w:p>
            <w:pPr>
              <w:widowControl/>
              <w:jc w:val="center"/>
              <w:rPr>
                <w:rFonts w:ascii="宋体" w:hAnsi="宋体" w:cs="宋体"/>
                <w:sz w:val="24"/>
              </w:rPr>
            </w:pPr>
            <w:r>
              <w:rPr>
                <w:rFonts w:hint="eastAsia" w:ascii="宋体" w:hAnsi="宋体" w:cs="宋体"/>
                <w:sz w:val="24"/>
              </w:rPr>
              <w:t>17.94</w:t>
            </w:r>
          </w:p>
        </w:tc>
        <w:tc>
          <w:tcPr>
            <w:tcW w:w="2268" w:type="dxa"/>
            <w:vAlign w:val="center"/>
          </w:tcPr>
          <w:p>
            <w:pPr>
              <w:widowControl/>
              <w:jc w:val="center"/>
              <w:rPr>
                <w:rFonts w:ascii="宋体" w:hAnsi="宋体" w:cs="宋体"/>
                <w:sz w:val="24"/>
              </w:rPr>
            </w:pPr>
            <w:r>
              <w:rPr>
                <w:rFonts w:hint="eastAsia" w:ascii="宋体" w:hAnsi="宋体" w:cs="宋体"/>
                <w:sz w:val="24"/>
              </w:rPr>
              <w:t>672.13</w:t>
            </w:r>
          </w:p>
        </w:tc>
        <w:tc>
          <w:tcPr>
            <w:tcW w:w="2268" w:type="dxa"/>
            <w:vAlign w:val="center"/>
          </w:tcPr>
          <w:p>
            <w:pPr>
              <w:widowControl/>
              <w:jc w:val="center"/>
              <w:rPr>
                <w:rFonts w:ascii="宋体" w:hAnsi="宋体" w:cs="宋体"/>
                <w:sz w:val="24"/>
              </w:rPr>
            </w:pPr>
            <w:r>
              <w:rPr>
                <w:rFonts w:hint="eastAsia" w:ascii="宋体" w:hAnsi="宋体" w:cs="宋体"/>
                <w:sz w:val="24"/>
              </w:rPr>
              <w:t>672.13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公共场所母乳哺育室建设、评估、维护</w:t>
            </w:r>
          </w:p>
        </w:tc>
        <w:tc>
          <w:tcPr>
            <w:tcW w:w="2268" w:type="dxa"/>
            <w:vAlign w:val="center"/>
          </w:tcPr>
          <w:p>
            <w:pPr>
              <w:widowControl/>
              <w:jc w:val="center"/>
              <w:rPr>
                <w:rFonts w:ascii="宋体" w:hAnsi="宋体" w:cs="宋体"/>
                <w:kern w:val="0"/>
                <w:sz w:val="24"/>
              </w:rPr>
            </w:pPr>
            <w:r>
              <w:rPr>
                <w:rFonts w:hint="eastAsia" w:ascii="宋体" w:hAnsi="宋体" w:cs="宋体"/>
                <w:sz w:val="24"/>
              </w:rPr>
              <w:t>40.2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40.2</w:t>
            </w:r>
          </w:p>
        </w:tc>
        <w:tc>
          <w:tcPr>
            <w:tcW w:w="2268" w:type="dxa"/>
            <w:vAlign w:val="center"/>
          </w:tcPr>
          <w:p>
            <w:pPr>
              <w:widowControl/>
              <w:jc w:val="center"/>
              <w:rPr>
                <w:rFonts w:ascii="宋体" w:hAnsi="宋体" w:cs="宋体"/>
                <w:sz w:val="24"/>
              </w:rPr>
            </w:pPr>
            <w:r>
              <w:rPr>
                <w:rFonts w:hint="eastAsia" w:ascii="宋体" w:hAnsi="宋体" w:cs="宋体"/>
                <w:sz w:val="24"/>
              </w:rPr>
              <w:t>33.84</w:t>
            </w:r>
          </w:p>
        </w:tc>
        <w:tc>
          <w:tcPr>
            <w:tcW w:w="2268" w:type="dxa"/>
            <w:vAlign w:val="center"/>
          </w:tcPr>
          <w:p>
            <w:pPr>
              <w:widowControl/>
              <w:jc w:val="center"/>
              <w:rPr>
                <w:rFonts w:ascii="宋体" w:hAnsi="宋体" w:cs="宋体"/>
                <w:sz w:val="24"/>
              </w:rPr>
            </w:pPr>
            <w:r>
              <w:rPr>
                <w:rFonts w:hint="eastAsia" w:ascii="宋体" w:hAnsi="宋体" w:cs="宋体"/>
                <w:sz w:val="24"/>
              </w:rPr>
              <w:t>84.18%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苏州市第十五次妇女代表大会</w:t>
            </w:r>
          </w:p>
        </w:tc>
        <w:tc>
          <w:tcPr>
            <w:tcW w:w="2268" w:type="dxa"/>
            <w:vAlign w:val="center"/>
          </w:tcPr>
          <w:p>
            <w:pPr>
              <w:widowControl/>
              <w:jc w:val="center"/>
              <w:rPr>
                <w:rFonts w:ascii="宋体" w:hAnsi="宋体" w:cs="宋体"/>
                <w:kern w:val="0"/>
                <w:sz w:val="24"/>
              </w:rPr>
            </w:pPr>
            <w:r>
              <w:rPr>
                <w:rFonts w:hint="eastAsia" w:ascii="宋体" w:hAnsi="宋体" w:cs="宋体"/>
                <w:sz w:val="24"/>
              </w:rPr>
              <w:t>57.72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57.72</w:t>
            </w:r>
          </w:p>
        </w:tc>
        <w:tc>
          <w:tcPr>
            <w:tcW w:w="2268" w:type="dxa"/>
            <w:vAlign w:val="center"/>
          </w:tcPr>
          <w:p>
            <w:pPr>
              <w:widowControl/>
              <w:jc w:val="center"/>
              <w:rPr>
                <w:rFonts w:ascii="宋体" w:hAnsi="宋体" w:cs="宋体"/>
                <w:sz w:val="24"/>
              </w:rPr>
            </w:pPr>
            <w:r>
              <w:rPr>
                <w:rFonts w:hint="eastAsia" w:ascii="宋体" w:hAnsi="宋体" w:cs="宋体"/>
                <w:sz w:val="24"/>
              </w:rPr>
              <w:t>53.55</w:t>
            </w:r>
          </w:p>
        </w:tc>
        <w:tc>
          <w:tcPr>
            <w:tcW w:w="2268" w:type="dxa"/>
            <w:vAlign w:val="center"/>
          </w:tcPr>
          <w:p>
            <w:pPr>
              <w:widowControl/>
              <w:jc w:val="center"/>
              <w:rPr>
                <w:rFonts w:ascii="宋体" w:hAnsi="宋体" w:cs="宋体"/>
                <w:sz w:val="24"/>
              </w:rPr>
            </w:pPr>
            <w:r>
              <w:rPr>
                <w:rFonts w:hint="eastAsia" w:ascii="宋体" w:hAnsi="宋体" w:cs="宋体"/>
                <w:sz w:val="24"/>
              </w:rPr>
              <w:t>92.78%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专项工作经费</w:t>
            </w:r>
          </w:p>
        </w:tc>
        <w:tc>
          <w:tcPr>
            <w:tcW w:w="2268" w:type="dxa"/>
            <w:vAlign w:val="center"/>
          </w:tcPr>
          <w:p>
            <w:pPr>
              <w:widowControl/>
              <w:jc w:val="center"/>
              <w:rPr>
                <w:rFonts w:ascii="宋体" w:hAnsi="宋体" w:cs="宋体"/>
                <w:kern w:val="0"/>
                <w:sz w:val="24"/>
              </w:rPr>
            </w:pPr>
            <w:r>
              <w:rPr>
                <w:rFonts w:hint="eastAsia" w:ascii="宋体" w:hAnsi="宋体" w:cs="宋体"/>
                <w:sz w:val="24"/>
              </w:rPr>
              <w:t>260.77</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260.77</w:t>
            </w:r>
          </w:p>
        </w:tc>
        <w:tc>
          <w:tcPr>
            <w:tcW w:w="2268" w:type="dxa"/>
            <w:vAlign w:val="center"/>
          </w:tcPr>
          <w:p>
            <w:pPr>
              <w:widowControl/>
              <w:jc w:val="center"/>
              <w:rPr>
                <w:rFonts w:ascii="宋体" w:hAnsi="宋体" w:cs="宋体"/>
                <w:sz w:val="24"/>
              </w:rPr>
            </w:pPr>
            <w:r>
              <w:rPr>
                <w:rFonts w:hint="eastAsia" w:ascii="宋体" w:hAnsi="宋体" w:cs="宋体"/>
                <w:sz w:val="24"/>
              </w:rPr>
              <w:t>256.25</w:t>
            </w:r>
          </w:p>
        </w:tc>
        <w:tc>
          <w:tcPr>
            <w:tcW w:w="2268" w:type="dxa"/>
            <w:vAlign w:val="center"/>
          </w:tcPr>
          <w:p>
            <w:pPr>
              <w:widowControl/>
              <w:jc w:val="center"/>
              <w:rPr>
                <w:rFonts w:ascii="宋体" w:hAnsi="宋体" w:cs="宋体"/>
                <w:sz w:val="24"/>
              </w:rPr>
            </w:pPr>
            <w:r>
              <w:rPr>
                <w:rFonts w:hint="eastAsia" w:ascii="宋体" w:hAnsi="宋体" w:cs="宋体"/>
                <w:sz w:val="24"/>
              </w:rPr>
              <w:t>98.27%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单位法律咨询费</w:t>
            </w:r>
          </w:p>
        </w:tc>
        <w:tc>
          <w:tcPr>
            <w:tcW w:w="2268" w:type="dxa"/>
            <w:vAlign w:val="center"/>
          </w:tcPr>
          <w:p>
            <w:pPr>
              <w:widowControl/>
              <w:jc w:val="center"/>
              <w:rPr>
                <w:rFonts w:ascii="宋体" w:hAnsi="宋体" w:cs="宋体"/>
                <w:kern w:val="0"/>
                <w:sz w:val="24"/>
              </w:rPr>
            </w:pPr>
            <w:r>
              <w:rPr>
                <w:rFonts w:hint="eastAsia" w:ascii="宋体" w:hAnsi="宋体" w:cs="宋体"/>
                <w:sz w:val="24"/>
              </w:rPr>
              <w:t>4</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w:t>
            </w:r>
          </w:p>
        </w:tc>
        <w:tc>
          <w:tcPr>
            <w:tcW w:w="2268" w:type="dxa"/>
            <w:vAlign w:val="center"/>
          </w:tcPr>
          <w:p>
            <w:pPr>
              <w:widowControl/>
              <w:jc w:val="center"/>
              <w:rPr>
                <w:rFonts w:ascii="宋体" w:hAnsi="宋体" w:cs="宋体"/>
                <w:sz w:val="24"/>
              </w:rPr>
            </w:pPr>
            <w:r>
              <w:rPr>
                <w:rFonts w:hint="eastAsia" w:ascii="宋体" w:hAnsi="宋体" w:cs="宋体"/>
                <w:sz w:val="24"/>
              </w:rPr>
              <w:t>4</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“三八”节活动</w:t>
            </w:r>
          </w:p>
        </w:tc>
        <w:tc>
          <w:tcPr>
            <w:tcW w:w="2268" w:type="dxa"/>
            <w:vAlign w:val="center"/>
          </w:tcPr>
          <w:p>
            <w:pPr>
              <w:widowControl/>
              <w:jc w:val="center"/>
              <w:rPr>
                <w:rFonts w:ascii="宋体" w:hAnsi="宋体" w:cs="宋体"/>
                <w:kern w:val="0"/>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妇女儿童工作委员会办公室工作经费</w:t>
            </w:r>
          </w:p>
        </w:tc>
        <w:tc>
          <w:tcPr>
            <w:tcW w:w="2268" w:type="dxa"/>
            <w:vAlign w:val="center"/>
          </w:tcPr>
          <w:p>
            <w:pPr>
              <w:widowControl/>
              <w:jc w:val="center"/>
              <w:rPr>
                <w:rFonts w:ascii="宋体" w:hAnsi="宋体" w:cs="宋体"/>
                <w:kern w:val="0"/>
                <w:sz w:val="24"/>
              </w:rPr>
            </w:pPr>
            <w:r>
              <w:rPr>
                <w:rFonts w:hint="eastAsia" w:ascii="宋体" w:hAnsi="宋体" w:cs="宋体"/>
                <w:sz w:val="24"/>
              </w:rPr>
              <w:t>9.5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9.5</w:t>
            </w:r>
          </w:p>
        </w:tc>
        <w:tc>
          <w:tcPr>
            <w:tcW w:w="2268" w:type="dxa"/>
            <w:vAlign w:val="center"/>
          </w:tcPr>
          <w:p>
            <w:pPr>
              <w:widowControl/>
              <w:jc w:val="center"/>
              <w:rPr>
                <w:rFonts w:ascii="宋体" w:hAnsi="宋体" w:cs="宋体"/>
                <w:sz w:val="24"/>
              </w:rPr>
            </w:pPr>
            <w:r>
              <w:rPr>
                <w:rFonts w:hint="eastAsia" w:ascii="宋体" w:hAnsi="宋体" w:cs="宋体"/>
                <w:sz w:val="24"/>
              </w:rPr>
              <w:t>6.64</w:t>
            </w:r>
          </w:p>
        </w:tc>
        <w:tc>
          <w:tcPr>
            <w:tcW w:w="2268" w:type="dxa"/>
            <w:vAlign w:val="center"/>
          </w:tcPr>
          <w:p>
            <w:pPr>
              <w:widowControl/>
              <w:jc w:val="center"/>
              <w:rPr>
                <w:rFonts w:ascii="宋体" w:hAnsi="宋体" w:cs="宋体"/>
                <w:sz w:val="24"/>
              </w:rPr>
            </w:pPr>
            <w:r>
              <w:rPr>
                <w:rFonts w:hint="eastAsia" w:ascii="宋体" w:hAnsi="宋体" w:cs="宋体"/>
                <w:sz w:val="24"/>
              </w:rPr>
              <w:t>69.89%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7.95</w:t>
            </w:r>
          </w:p>
        </w:tc>
        <w:tc>
          <w:tcPr>
            <w:tcW w:w="2268" w:type="dxa"/>
            <w:vAlign w:val="center"/>
          </w:tcPr>
          <w:p>
            <w:pPr>
              <w:widowControl/>
              <w:jc w:val="center"/>
              <w:rPr>
                <w:rFonts w:ascii="宋体" w:hAnsi="宋体" w:cs="宋体"/>
                <w:sz w:val="24"/>
              </w:rPr>
            </w:pPr>
            <w:r>
              <w:rPr>
                <w:rFonts w:hint="eastAsia" w:ascii="宋体" w:hAnsi="宋体" w:cs="宋体"/>
                <w:sz w:val="24"/>
              </w:rPr>
              <w:t>79.50%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儿童友好城市建设</w:t>
            </w:r>
          </w:p>
        </w:tc>
        <w:tc>
          <w:tcPr>
            <w:tcW w:w="2268" w:type="dxa"/>
            <w:vAlign w:val="center"/>
          </w:tcPr>
          <w:p>
            <w:pPr>
              <w:widowControl/>
              <w:jc w:val="center"/>
              <w:rPr>
                <w:rFonts w:ascii="宋体" w:hAnsi="宋体" w:cs="宋体"/>
                <w:kern w:val="0"/>
                <w:sz w:val="24"/>
              </w:rPr>
            </w:pPr>
            <w:r>
              <w:rPr>
                <w:rFonts w:hint="eastAsia" w:ascii="宋体" w:hAnsi="宋体" w:cs="宋体"/>
                <w:sz w:val="24"/>
              </w:rPr>
              <w:t>147</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147</w:t>
            </w:r>
          </w:p>
        </w:tc>
        <w:tc>
          <w:tcPr>
            <w:tcW w:w="2268" w:type="dxa"/>
            <w:vAlign w:val="center"/>
          </w:tcPr>
          <w:p>
            <w:pPr>
              <w:widowControl/>
              <w:jc w:val="center"/>
              <w:rPr>
                <w:rFonts w:ascii="宋体" w:hAnsi="宋体" w:cs="宋体"/>
                <w:sz w:val="24"/>
              </w:rPr>
            </w:pPr>
            <w:r>
              <w:rPr>
                <w:rFonts w:hint="eastAsia" w:ascii="宋体" w:hAnsi="宋体" w:cs="宋体"/>
                <w:sz w:val="24"/>
              </w:rPr>
              <w:t>147</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妇女儿童家庭服务创投项目</w:t>
            </w:r>
          </w:p>
        </w:tc>
        <w:tc>
          <w:tcPr>
            <w:tcW w:w="2268" w:type="dxa"/>
            <w:vAlign w:val="center"/>
          </w:tcPr>
          <w:p>
            <w:pPr>
              <w:widowControl/>
              <w:jc w:val="center"/>
              <w:rPr>
                <w:rFonts w:ascii="宋体" w:hAnsi="宋体" w:cs="宋体"/>
                <w:kern w:val="0"/>
                <w:sz w:val="24"/>
              </w:rPr>
            </w:pPr>
            <w:r>
              <w:rPr>
                <w:rFonts w:hint="eastAsia" w:ascii="宋体" w:hAnsi="宋体" w:cs="宋体"/>
                <w:sz w:val="24"/>
              </w:rPr>
              <w:t>100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100</w:t>
            </w:r>
          </w:p>
        </w:tc>
        <w:tc>
          <w:tcPr>
            <w:tcW w:w="2268" w:type="dxa"/>
            <w:vAlign w:val="center"/>
          </w:tcPr>
          <w:p>
            <w:pPr>
              <w:widowControl/>
              <w:jc w:val="center"/>
              <w:rPr>
                <w:rFonts w:ascii="宋体" w:hAnsi="宋体" w:cs="宋体"/>
                <w:sz w:val="24"/>
              </w:rPr>
            </w:pPr>
            <w:r>
              <w:rPr>
                <w:rFonts w:hint="eastAsia" w:ascii="宋体" w:hAnsi="宋体" w:cs="宋体"/>
                <w:sz w:val="24"/>
              </w:rPr>
              <w:t>97.45</w:t>
            </w:r>
          </w:p>
        </w:tc>
        <w:tc>
          <w:tcPr>
            <w:tcW w:w="2268" w:type="dxa"/>
            <w:vAlign w:val="center"/>
          </w:tcPr>
          <w:p>
            <w:pPr>
              <w:widowControl/>
              <w:jc w:val="center"/>
              <w:rPr>
                <w:rFonts w:ascii="宋体" w:hAnsi="宋体" w:cs="宋体"/>
                <w:sz w:val="24"/>
              </w:rPr>
            </w:pPr>
            <w:r>
              <w:rPr>
                <w:rFonts w:hint="eastAsia" w:ascii="宋体" w:hAnsi="宋体" w:cs="宋体"/>
                <w:sz w:val="24"/>
              </w:rPr>
              <w:t>97.45%</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承担市政府妇女儿童工作委员会办公室的工作</w:t>
            </w:r>
          </w:p>
        </w:tc>
        <w:tc>
          <w:tcPr>
            <w:tcW w:w="3818" w:type="dxa"/>
            <w:vAlign w:val="center"/>
          </w:tcPr>
          <w:p>
            <w:pPr>
              <w:widowControl/>
              <w:jc w:val="center"/>
              <w:rPr>
                <w:rFonts w:ascii="宋体" w:hAnsi="宋体" w:cs="宋体"/>
                <w:sz w:val="24"/>
              </w:rPr>
            </w:pPr>
            <w:r>
              <w:rPr>
                <w:rFonts w:hint="eastAsia" w:ascii="宋体" w:hAnsi="宋体" w:cs="宋体"/>
                <w:sz w:val="24"/>
              </w:rPr>
              <w:t>承担市政府妇女儿童工作的协调事宜，承担苏州市妇女儿童两个规划的制定和落实职能，宣传和推动男女平等基本国策，调查研究妇女儿童热点难点问题，为政府制定政策提供依据。</w:t>
            </w:r>
          </w:p>
        </w:tc>
        <w:tc>
          <w:tcPr>
            <w:tcW w:w="6280" w:type="dxa"/>
            <w:vAlign w:val="center"/>
          </w:tcPr>
          <w:p>
            <w:pPr>
              <w:widowControl/>
              <w:jc w:val="center"/>
              <w:rPr>
                <w:rFonts w:ascii="宋体" w:hAnsi="宋体" w:cs="宋体"/>
                <w:sz w:val="24"/>
              </w:rPr>
            </w:pPr>
            <w:r>
              <w:rPr>
                <w:rFonts w:hint="eastAsia" w:ascii="宋体" w:hAnsi="宋体" w:cs="宋体"/>
                <w:sz w:val="24"/>
              </w:rPr>
              <w:t>落实政府工作报告“做好妇女工作”“深化儿童友好城市建设”等要求，推动“十四五”妇儿发展规划指标全面达标，高标准编制市“十五五”妇女友善之城建设规划、儿童事业发展规划，联合有关单位设立22个“柔晖护苗”关爱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加强妇联组织自身建设、妇女发展、切实维护妇女儿童权益、开展妇女儿童工作。</w:t>
            </w:r>
          </w:p>
        </w:tc>
        <w:tc>
          <w:tcPr>
            <w:tcW w:w="3818" w:type="dxa"/>
            <w:vAlign w:val="center"/>
          </w:tcPr>
          <w:p>
            <w:pPr>
              <w:widowControl/>
              <w:jc w:val="center"/>
              <w:rPr>
                <w:rFonts w:ascii="宋体" w:hAnsi="宋体" w:cs="宋体"/>
                <w:sz w:val="24"/>
              </w:rPr>
            </w:pPr>
            <w:r>
              <w:rPr>
                <w:rFonts w:hint="eastAsia" w:ascii="宋体" w:hAnsi="宋体" w:cs="宋体"/>
                <w:sz w:val="24"/>
              </w:rPr>
              <w:t>巾帼法律服务，公益性心理服务中心，法律援助项目；家庭文明建设、女性创业创新、乡村振兴等</w:t>
            </w:r>
          </w:p>
        </w:tc>
        <w:tc>
          <w:tcPr>
            <w:tcW w:w="6280" w:type="dxa"/>
            <w:vAlign w:val="center"/>
          </w:tcPr>
          <w:p>
            <w:pPr>
              <w:widowControl/>
              <w:jc w:val="center"/>
              <w:rPr>
                <w:rFonts w:ascii="宋体" w:hAnsi="宋体" w:cs="宋体"/>
                <w:sz w:val="24"/>
              </w:rPr>
            </w:pPr>
            <w:r>
              <w:rPr>
                <w:rFonts w:hint="eastAsia" w:ascii="宋体" w:hAnsi="宋体" w:cs="宋体"/>
                <w:sz w:val="24"/>
              </w:rPr>
              <w:t>召开专题会议，创新实施婚姻家庭赋能行动，举办3期婚姻家庭纠纷调解训练营，培育家事调解员300余人，调解婚姻家庭纠纷4648件。建成市婚姻家庭智慧服务平台，与公安交换婚姻家庭类纠纷数据8100多例，12338热线接待群众信访2049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坚持为妇女儿童服务、为基层服务，加强与社会各界的联系，协调推动全社会为妇女儿童事业办实事、办好事，促进妇女儿童事业的发展。</w:t>
            </w:r>
          </w:p>
        </w:tc>
        <w:tc>
          <w:tcPr>
            <w:tcW w:w="3818" w:type="dxa"/>
            <w:vAlign w:val="center"/>
          </w:tcPr>
          <w:p>
            <w:pPr>
              <w:widowControl/>
              <w:jc w:val="center"/>
              <w:rPr>
                <w:rFonts w:ascii="宋体" w:hAnsi="宋体" w:cs="宋体"/>
                <w:sz w:val="24"/>
              </w:rPr>
            </w:pPr>
            <w:r>
              <w:rPr>
                <w:rFonts w:hint="eastAsia" w:ascii="宋体" w:hAnsi="宋体" w:cs="宋体"/>
                <w:sz w:val="24"/>
              </w:rPr>
              <w:t>开展苏州市儿童友好社区建设工作</w:t>
            </w:r>
          </w:p>
        </w:tc>
        <w:tc>
          <w:tcPr>
            <w:tcW w:w="6280" w:type="dxa"/>
            <w:vAlign w:val="center"/>
          </w:tcPr>
          <w:p>
            <w:pPr>
              <w:widowControl/>
              <w:jc w:val="center"/>
              <w:rPr>
                <w:rFonts w:ascii="宋体" w:hAnsi="宋体" w:cs="宋体"/>
                <w:sz w:val="24"/>
              </w:rPr>
            </w:pPr>
            <w:r>
              <w:rPr>
                <w:rFonts w:hint="eastAsia" w:ascii="宋体" w:hAnsi="宋体" w:cs="宋体"/>
                <w:sz w:val="24"/>
              </w:rPr>
              <w:t>落实市政府《建设儿童友好城市三年行动计划（2024-2026年）》，联合检察院、商务局编制《住宅小区公共空间儿童安全建设指引》《商圈中的儿童友好空间建设指引》，开展“儿童友好 快乐童享”主题系列活动，累计建成儿童友好试点单元625个，营造儿童成长良好环境。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联系、指导社会各界妇女组织；负责组织实施妇联系统干部教育培训工作</w:t>
            </w:r>
          </w:p>
        </w:tc>
        <w:tc>
          <w:tcPr>
            <w:tcW w:w="3818" w:type="dxa"/>
            <w:vAlign w:val="center"/>
          </w:tcPr>
          <w:p>
            <w:pPr>
              <w:widowControl/>
              <w:jc w:val="center"/>
              <w:rPr>
                <w:rFonts w:ascii="宋体" w:hAnsi="宋体" w:cs="宋体"/>
                <w:sz w:val="24"/>
              </w:rPr>
            </w:pPr>
            <w:r>
              <w:rPr>
                <w:rFonts w:hint="eastAsia" w:ascii="宋体" w:hAnsi="宋体" w:cs="宋体"/>
                <w:sz w:val="24"/>
              </w:rPr>
              <w:t>组织市妇联干部、执委、市级直属妇联主席、县市区妇联主席等开展政治素质、业务素质提升培训班</w:t>
            </w:r>
          </w:p>
        </w:tc>
        <w:tc>
          <w:tcPr>
            <w:tcW w:w="6280" w:type="dxa"/>
            <w:vAlign w:val="center"/>
          </w:tcPr>
          <w:p>
            <w:pPr>
              <w:widowControl/>
              <w:jc w:val="center"/>
              <w:rPr>
                <w:rFonts w:ascii="宋体" w:hAnsi="宋体" w:cs="宋体"/>
                <w:sz w:val="24"/>
              </w:rPr>
            </w:pPr>
            <w:r>
              <w:rPr>
                <w:rFonts w:hint="eastAsia" w:ascii="宋体" w:hAnsi="宋体" w:cs="宋体"/>
                <w:sz w:val="24"/>
              </w:rPr>
              <w:t>出台《市妇联第十五届执委履职工作办法》，举办基层妇联“领头雁”培训班、第三十期女干部培训班等，上下联动培训妇联干部、执委2.46万人次，打造高素质专业化的干部队伍。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宣传马克思主义妇女观，推动落实男女平等基本国策，教育和引导广大妇女践宣传马克思主义妇女观，推动落实男女平等基本国策，教育和引导广大妇女践行社会主义核心价值观行社会主义核心价值观</w:t>
            </w:r>
          </w:p>
        </w:tc>
        <w:tc>
          <w:tcPr>
            <w:tcW w:w="3818" w:type="dxa"/>
            <w:vAlign w:val="center"/>
          </w:tcPr>
          <w:p>
            <w:pPr>
              <w:widowControl/>
              <w:jc w:val="center"/>
              <w:rPr>
                <w:rFonts w:ascii="宋体" w:hAnsi="宋体" w:cs="宋体"/>
                <w:sz w:val="24"/>
              </w:rPr>
            </w:pPr>
            <w:r>
              <w:rPr>
                <w:rFonts w:hint="eastAsia" w:ascii="宋体" w:hAnsi="宋体" w:cs="宋体"/>
                <w:sz w:val="24"/>
              </w:rPr>
              <w:t>纪念“三八”国际妇女节主题活动，政策法规性别平等评估等</w:t>
            </w:r>
          </w:p>
        </w:tc>
        <w:tc>
          <w:tcPr>
            <w:tcW w:w="6280" w:type="dxa"/>
            <w:vAlign w:val="center"/>
          </w:tcPr>
          <w:p>
            <w:pPr>
              <w:widowControl/>
              <w:jc w:val="center"/>
              <w:rPr>
                <w:rFonts w:ascii="宋体" w:hAnsi="宋体" w:cs="宋体"/>
                <w:sz w:val="24"/>
              </w:rPr>
            </w:pPr>
            <w:r>
              <w:rPr>
                <w:rFonts w:hint="eastAsia" w:ascii="宋体" w:hAnsi="宋体" w:cs="宋体"/>
                <w:sz w:val="24"/>
              </w:rPr>
              <w:t>举办市纪念“三八”国际妇女节115周年座谈会和走访慰问活动。深化巾帼大学习、大宣讲，各级妇联累计宣讲3686场。升级“木兰讲师团”，开展10场“姑苏女性大讲堂”、三八红旗手（集体）工作室互学互访及女大学生“聚心”行动。</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账务资料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账务资料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工资材料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台账资料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追加人员经费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77.74%</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-22.26%</w:t>
            </w:r>
          </w:p>
        </w:tc>
        <w:tc>
          <w:tcPr>
            <w:tcW w:w="1071" w:type="dxa"/>
          </w:tcPr>
          <w:p>
            <w:pPr>
              <w:spacing w:line="360" w:lineRule="auto"/>
              <w:rPr>
                <w:rFonts w:ascii="宋体" w:hAnsi="宋体" w:cs="宋体"/>
                <w:kern w:val="0"/>
                <w:sz w:val="22"/>
              </w:rPr>
            </w:pPr>
            <w:r>
              <w:rPr>
                <w:rFonts w:hint="eastAsia" w:ascii="宋体" w:hAnsi="宋体" w:cs="宋体"/>
                <w:sz w:val="24"/>
              </w:rPr>
              <w:t>差旅费有所减少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10.39%</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追加人员经费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决算报告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对单位履职、促进事业发展的提升程度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提高</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提高</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对培训人员综合素质的改善或提升程度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提高</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提高</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对基层业务指导覆盖率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妇儿发展规划宣传材料发放数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&gt;=500份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500份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妇女儿童工作委员会宣传材料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开展儿童友好主题系列活动次数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=4次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儿童友好城市建设材料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-50.00%</w:t>
            </w:r>
          </w:p>
        </w:tc>
        <w:tc>
          <w:tcPr>
            <w:tcW w:w="1071" w:type="dxa"/>
          </w:tcPr>
          <w:p>
            <w:pPr>
              <w:spacing w:line="360" w:lineRule="auto"/>
              <w:rPr>
                <w:rFonts w:ascii="宋体" w:hAnsi="宋体" w:cs="宋体"/>
                <w:kern w:val="0"/>
                <w:sz w:val="22"/>
              </w:rPr>
            </w:pPr>
            <w:r>
              <w:rPr>
                <w:rFonts w:hint="eastAsia" w:ascii="宋体" w:hAnsi="宋体" w:cs="宋体"/>
                <w:sz w:val="24"/>
              </w:rPr>
              <w:t>主题活动实际开展次数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演出上座率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96%</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三八节活动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6.67%</w:t>
            </w:r>
          </w:p>
        </w:tc>
        <w:tc>
          <w:tcPr>
            <w:tcW w:w="1071" w:type="dxa"/>
          </w:tcPr>
          <w:p>
            <w:pPr>
              <w:spacing w:line="360" w:lineRule="auto"/>
              <w:rPr>
                <w:rFonts w:ascii="宋体" w:hAnsi="宋体" w:cs="宋体"/>
                <w:kern w:val="0"/>
                <w:sz w:val="22"/>
              </w:rPr>
            </w:pPr>
            <w:r>
              <w:rPr>
                <w:rFonts w:hint="eastAsia" w:ascii="宋体" w:hAnsi="宋体" w:cs="宋体"/>
                <w:sz w:val="24"/>
              </w:rPr>
              <w:t>观众人数增加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培训人次</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&gt;=40人次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57人次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42.50%</w:t>
            </w:r>
          </w:p>
        </w:tc>
        <w:tc>
          <w:tcPr>
            <w:tcW w:w="1071" w:type="dxa"/>
          </w:tcPr>
          <w:p>
            <w:pPr>
              <w:spacing w:line="360" w:lineRule="auto"/>
              <w:rPr>
                <w:rFonts w:ascii="宋体" w:hAnsi="宋体" w:cs="宋体"/>
                <w:kern w:val="0"/>
                <w:sz w:val="22"/>
              </w:rPr>
            </w:pPr>
            <w:r>
              <w:rPr>
                <w:rFonts w:hint="eastAsia" w:ascii="宋体" w:hAnsi="宋体" w:cs="宋体"/>
                <w:sz w:val="24"/>
              </w:rPr>
              <w:t>培训班人数增加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女性社会组织服务完成率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活动材料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法律顾问协同率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单位法律咨询服务</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