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苏州市第十五次妇女代表大会</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苏州市妇女联合会</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57.72</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53.55</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4.17</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4.17</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53.55</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53.55</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4.17</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57.72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53.55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餐费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16.1</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14.20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租场费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22.44</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20.08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其他</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住宿费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9.88</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6.92</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92.78%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参会人数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=520人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500人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会期</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=2天</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2天</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经费支出合规性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严格执行相关财经制度、法规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会议按时完成率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部门形象的提升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推动妇女儿童高质量发展</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对提升部门形象的持续影响程度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参会代表满意度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67.91</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根据《中华全国妇女联合会章程》，地方各级妇女代表大会，每五年举行一次，由同级妇女联合会执行委员会召集</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确定今后五年妇女工作的任务，选举产生市妇联第十五届执行委员会。</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进一步团结动员全市广大妇女为开创苏州改革发展和现代化建设新局面。</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苏州市第十五次妇女代表大会顺利召开</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进一步团结动员全市广大妇女为开创苏州改革发展和现代化建设新局面。</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因参会人数减少，未达到预算金额</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精准做好预算管理工作。</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