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妇女儿童家庭服务创投项目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苏州市妇女联合会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100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97.45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2.55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97.45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97.45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2.55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97.45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婚姻家庭服务类公益社工项目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97.45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此项目服务对象包括活动设计都是同一个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97.45%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6.98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服务项目数量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&gt;=14个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14个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开展服务次数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&gt;=100次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4.16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4.16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经费支出合规性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严格按照相关财经法规、制度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4.16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4.16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服务项目评估合格率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4.16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4.16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完成及时性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4.16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4.16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经费支出时效性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4.16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4.16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对单位履职、促进事业发展的影响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提高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服务人次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&gt;=10000人次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10000人次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第三方监管机制健全性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满意度目标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服务对象满意度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&gt;=85%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85%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7.5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70.98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2025年度苏州市妇联向社会力量购买家庭服务公益项目共 14个，包括加强思想引领类项目3个，助推巾帼建功类项目4个，提供关爱服务类项目3个，参与基层治理类项目4个。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以提升在新兴领域的引领力、组织力、服务力为核心方向，围绕加强思想引领、助推巾帼建功、提供关爱服务、参与基层治理等四个具体方向，聚焦“权益保护、就业创业、数字化思维运用与指导、乡村振兴、家庭教育、婚恋交友、心理援助、家事纠纷调解、妇女儿童关爱、新兴领域妇女微家活化”等十大领域，继续开展向社会力量购买妇女儿童家庭服务公益项目工作，让妇联工作可落地可感知可衡量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完成14个公益服务项目，受惠群体遍及苏州大市范围。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本年度14个项目，均为联合申报，计划服务人数1540，实际服务人数2277，完成率为147.86%；计划服务频次365，实际完成频次384，完成率为105.21%；计划服务4621人次，实际服务7283人次，累计人次完成率为157.61%。终期评估最高分98分，最低分71.25分，平均得分89.72分。项目方服务呈报内容完整，与实际情况匹配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精准锚定新业态骑手、企业女职工、物流从业者、社会组织人员等新兴领域女性群体多元需求，紧扣加强思想引领、参与基层治理、提供关爱服务、助推巾帼建功四大方向，以新兴领域妇女及其家庭的差异化需求为导向，构建起全方位、多层次、可持续的服务体系，取得了个体成长赋能、家庭和谐提升、社会支持完善、行业生态优化的综合成效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还需要针对不同群体细化服务设计：如新兴领域女性需聚焦心理减压、亲子关系等实际痛点，物流行业需围绕职业发展、家庭关系、亲子关系等维度展开服务，文化研学项目需考虑项目的可持续性与拓展，避免泛化供给。要完善需求调研与效果验证机制：增加利益相关方满意度问卷、服务对象回访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一是强化项目全流程标准化管理，夯实执行基础。需构建全流程标准化管理体系，明确筹备、实施至结项各阶段的操作规范与管理要求，实现项目执行的可追溯、可验证。二是深化需求导向的服务供给，提升精准效能。服务供给需以对象需求为核心，强化精准性与适配性。三是构建品牌与可持续发展体系，沉淀项目价值。以品牌化思维推动项目长效发展，同步沉淀可复制的价值经验。强化项目延续性设计，针对培训类、孵化类项目，规划后续跟踪服务，通过品牌化运营与模式沉淀，实现项目从单次服务到长效价值的转化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